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contextualSpacing/>
        <w:jc w:val="center"/>
        <w:rPr>
          <w:rFonts w:hint="eastAsia" w:ascii="黑体" w:hAns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设 备 租 赁 协 议</w:t>
      </w:r>
    </w:p>
    <w:p>
      <w:pPr>
        <w:pStyle w:val="4"/>
        <w:spacing w:line="420" w:lineRule="exact"/>
        <w:contextualSpacing/>
        <w:jc w:val="center"/>
        <w:rPr>
          <w:rFonts w:hint="eastAsia" w:ascii="楷体" w:hAnsi="楷体" w:eastAsia="楷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(本合同模板仅供参考且不作为合同最终签订的条款依据)</w:t>
      </w:r>
    </w:p>
    <w:p>
      <w:pPr>
        <w:autoSpaceDE w:val="0"/>
        <w:autoSpaceDN w:val="0"/>
        <w:adjustRightInd w:val="0"/>
        <w:spacing w:line="420" w:lineRule="exact"/>
        <w:ind w:right="48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contextualSpacing/>
        <w:rPr>
          <w:rFonts w:hint="eastAsia" w:ascii="楷体" w:hAnsi="楷体" w:eastAsia="楷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出租方：</w:t>
      </w: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kern w:val="0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（简称甲方）</w:t>
      </w:r>
    </w:p>
    <w:p>
      <w:pPr>
        <w:autoSpaceDE w:val="0"/>
        <w:autoSpaceDN w:val="0"/>
        <w:adjustRightInd w:val="0"/>
        <w:spacing w:line="420" w:lineRule="exact"/>
        <w:contextualSpacing/>
        <w:rPr>
          <w:rFonts w:hint="eastAsia" w:ascii="仿宋" w:hAnsi="仿宋" w:eastAsia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contextualSpacing/>
        <w:rPr>
          <w:rFonts w:hint="eastAsia" w:ascii="楷体" w:hAnsi="楷体" w:eastAsia="楷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承租方：</w:t>
      </w: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（简称乙方）</w:t>
      </w:r>
    </w:p>
    <w:p>
      <w:pPr>
        <w:autoSpaceDE w:val="0"/>
        <w:autoSpaceDN w:val="0"/>
        <w:adjustRightInd w:val="0"/>
        <w:spacing w:line="420" w:lineRule="exact"/>
        <w:contextualSpacing/>
        <w:rPr>
          <w:rFonts w:hint="eastAsia" w:ascii="楷体" w:hAnsi="楷体" w:eastAsia="楷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contextualSpacing/>
        <w:rPr>
          <w:rFonts w:hint="eastAsia" w:ascii="楷体" w:hAnsi="楷体" w:eastAsia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担保方：</w:t>
      </w: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楷体" w:hAnsi="楷体" w:eastAsia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（简称丙方）</w:t>
      </w:r>
    </w:p>
    <w:p>
      <w:pPr>
        <w:autoSpaceDE w:val="0"/>
        <w:autoSpaceDN w:val="0"/>
        <w:adjustRightInd w:val="0"/>
        <w:spacing w:line="420" w:lineRule="exact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鉴于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依法在中国境内投资设立的有限公司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因生产经营需要，需承租甲方所持有的生产设备（租赁清单及价值具体见附件1，以下简称租赁标的），丙方为本租赁协议提供担保，经三方友好协商，就生产设备租赁事宜达成如下协议，以资三方共同遵守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一、租赁标的</w:t>
      </w:r>
    </w:p>
    <w:p>
      <w:pPr>
        <w:autoSpaceDE w:val="0"/>
        <w:autoSpaceDN w:val="0"/>
        <w:adjustRightInd w:val="0"/>
        <w:spacing w:line="420" w:lineRule="exact"/>
        <w:ind w:firstLine="482" w:firstLineChars="200"/>
        <w:contextualSpacing/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租赁设备：详见本协议附件1，租赁设备清单。</w:t>
      </w:r>
    </w:p>
    <w:p>
      <w:pPr>
        <w:autoSpaceDE w:val="0"/>
        <w:autoSpaceDN w:val="0"/>
        <w:adjustRightInd w:val="0"/>
        <w:spacing w:line="420" w:lineRule="exact"/>
        <w:ind w:firstLine="482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租赁金额：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每月租金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仿宋" w:cs="Calibri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Calibri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Calibr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（含税13%）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大写人民币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（若经甲乙双方验收的设备与附件1所列设备明细发生变更调整，则以经甲乙双方确认的实际承租设备租金为准）。</w:t>
      </w:r>
    </w:p>
    <w:p>
      <w:pPr>
        <w:autoSpaceDE w:val="0"/>
        <w:autoSpaceDN w:val="0"/>
        <w:adjustRightInd w:val="0"/>
        <w:spacing w:line="420" w:lineRule="exact"/>
        <w:ind w:firstLine="482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设备押金：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乙方应在本协议签订之日起1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日内支付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仿宋" w:cs="Calibri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Calibri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元，大写人民币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，作为设备押金。</w:t>
      </w:r>
    </w:p>
    <w:p>
      <w:pPr>
        <w:autoSpaceDE w:val="0"/>
        <w:autoSpaceDN w:val="0"/>
        <w:adjustRightInd w:val="0"/>
        <w:spacing w:line="420" w:lineRule="exact"/>
        <w:ind w:firstLine="482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租赁期限：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本协议租赁期3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租赁期自2025年9月1日起至2028年8月31日止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二、租金支付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租金采取预付方式，每三个月为一期，每期租金</w:t>
      </w:r>
      <w:r>
        <w:rPr>
          <w:rFonts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仿宋" w:cs="Calibri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Calibri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Calibr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（含税</w:t>
      </w:r>
      <w:r>
        <w:rPr>
          <w:rFonts w:ascii="仿宋" w:hAnsi="仿宋" w:eastAsia="仿宋" w:cs="Calibri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13%）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大写人民币</w:t>
      </w:r>
      <w:r>
        <w:rPr>
          <w:rFonts w:ascii="仿宋" w:hAnsi="仿宋" w:eastAsia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420" w:lineRule="exact"/>
        <w:ind w:firstLine="482" w:firstLineChars="200"/>
        <w:contextualSpacing/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首期租金支付方式：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乙方应于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>合同签订之日起</w:t>
      </w:r>
      <w:r>
        <w:rPr>
          <w:rFonts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>日内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支付首期三个月租金。甲方如采用公开招租方式招租的，乙方应在竞租报名时一并缴纳押金和首期三个月租金。如租赁期间发生设备更换的，按甲乙双方验收交接确认的承租设备计算实际租金。</w:t>
      </w:r>
    </w:p>
    <w:p>
      <w:pPr>
        <w:autoSpaceDE w:val="0"/>
        <w:autoSpaceDN w:val="0"/>
        <w:adjustRightInd w:val="0"/>
        <w:spacing w:line="420" w:lineRule="exact"/>
        <w:ind w:firstLine="482" w:firstLineChars="200"/>
        <w:contextualSpacing/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后续租金支付方式：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乙方应于每期到期前10日支付下一期租金，甲方应于到款后10日内将对应租金发票开具给乙方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三、押金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乙方因违反本协议条款，导致设备损坏、丢失或存在其他违约情形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有权从乙方支付的押金中扣除相应的赔偿费用或违约金；在甲方扣除相关押金后，乙方应在扣除当月内补足押金。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在乙方履行完毕本协议下的所有义务，设备无因乙方使用不当导致的损坏或功能缺失、乙方已全额支付所有租金和其他应付费用，且已按照约定和条件归还至甲方后，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应在设备归还并经验收合格后的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日内无息退还剩余押金给乙方。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黑体" w:hAnsi="黑体" w:eastAsia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四、运输费用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租赁标的在完成交接后，因设备更换、维修等原因产生的各项运输费用，均由乙方承担；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租赁到期后，租赁标的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运输回甲方的费用，由甲方承担。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、设备使用和移交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租赁期内，乙方享有租赁标的的使用权，但不得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转租、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转让或作为财产抵押，未经甲方同意亦不得在设备上增加或拆除任何部件和迁移安装地点。甲方有权检查设备的使用和完好情况，乙方应提供一切方便。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设备以设备现状移交，乙方对租赁标的完成检验及接收之日起，后续的调试、使用、保养、维护等均由乙方负责，产生的费用由乙方承担。租赁期间，因设备的使用、存放等原因造成的乙方或第三方损失均由乙方负责承担或赔付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租赁期满，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乙方无意续租，需在租赁期满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前3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天将租赁标的维护至可正常使用状态，并书面通知甲方进行检验；甲方应在收到通知后1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天内对租赁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标的完成检验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，验收合格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的，甲方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应在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归还设备后3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日内无息退还剩余押金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租赁期满，无法维修至正常使用状态（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正常通电通气，设备机构可正常复位，无零件缺失为正常状态）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的设备，乙方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应补偿由此给甲方造成的损失（附件1所列设备价值）。</w:t>
      </w:r>
    </w:p>
    <w:p>
      <w:pPr>
        <w:autoSpaceDE w:val="0"/>
        <w:autoSpaceDN w:val="0"/>
        <w:adjustRightInd w:val="0"/>
        <w:spacing w:line="420" w:lineRule="exact"/>
        <w:ind w:firstLine="482" w:firstLineChars="200"/>
        <w:contextualSpacing/>
        <w:rPr>
          <w:rFonts w:hint="eastAsia" w:ascii="仿宋" w:hAnsi="仿宋" w:eastAsia="仿宋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4.租赁期间，设备非易损件由于本身老化问题造成的重大故障，乙方应与甲方友好协商由甲方负责维修或更换相同的设备。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如乙方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续租，需在租赁期满前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个月书面通知甲方，甲方有权决定是否续租，在同等条件下乙方具有优先续租权。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六、违约金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乙方未如期支付租金的，每逾期一日按照逾期付款金额</w:t>
      </w:r>
      <w:r>
        <w:rPr>
          <w:rFonts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>‰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向甲方支付违约金；任意一方单方解约的，应向非违约方支付三个月租金作为违约金。违约金不足以弥补非违约方损失的，违约方需向非违约方赔偿其实际遭受的损失。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、其他约定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设备租赁期间发生损毁的，乙方需及时通知甲方，若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非甲方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责任的，需由乙方按照附件所列设备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价值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给予甲方赔付，损毁设备在乙方赔付前不停止计租。损毁设备赔付后，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由甲方补足同等性能设备，若甲方无法补足设备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或乙方无需甲方补足设备的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，甲方相应调减租金。</w:t>
      </w:r>
    </w:p>
    <w:p>
      <w:pPr>
        <w:autoSpaceDE w:val="0"/>
        <w:autoSpaceDN w:val="0"/>
        <w:adjustRightInd w:val="0"/>
        <w:spacing w:line="420" w:lineRule="exact"/>
        <w:ind w:firstLine="482" w:firstLineChars="200"/>
        <w:contextualSpacing/>
        <w:rPr>
          <w:rFonts w:hint="eastAsia" w:ascii="仿宋" w:hAnsi="仿宋" w:eastAsia="仿宋"/>
          <w:b/>
          <w:bCs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/>
          <w:bCs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>丙方对本合同项下款项的乙方的所有付款责任提供连带责任担保，保证担保的范围包括但不限于设备租金的支付、逾期支付租金的违约金、设备出现损毁及灭失的赔偿等等。担保期限为债权金额确认后两年。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、合同解除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本协议一旦签订，三方均应依约遵守，诚信履行，任何一方均不得任意解除本协议。乙方出现以下情况之一的，甲方可单方解除本租赁协议：</w:t>
      </w:r>
    </w:p>
    <w:p>
      <w:pPr>
        <w:pStyle w:val="18"/>
        <w:autoSpaceDE w:val="0"/>
        <w:autoSpaceDN w:val="0"/>
        <w:adjustRightInd w:val="0"/>
        <w:spacing w:line="420" w:lineRule="exact"/>
        <w:ind w:left="480" w:firstLine="0" w:firstLineChars="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乙方出现严重经营困难、资不抵债或被列入失信者名单的；</w:t>
      </w:r>
    </w:p>
    <w:p>
      <w:pPr>
        <w:pStyle w:val="18"/>
        <w:autoSpaceDE w:val="0"/>
        <w:autoSpaceDN w:val="0"/>
        <w:adjustRightInd w:val="0"/>
        <w:spacing w:line="420" w:lineRule="exact"/>
        <w:ind w:left="480" w:firstLine="0" w:firstLineChars="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乙方被吊销营业执照、取缔或进入破产清算程序的；</w:t>
      </w:r>
    </w:p>
    <w:p>
      <w:pPr>
        <w:pStyle w:val="18"/>
        <w:autoSpaceDE w:val="0"/>
        <w:autoSpaceDN w:val="0"/>
        <w:adjustRightInd w:val="0"/>
        <w:spacing w:line="420" w:lineRule="exact"/>
        <w:ind w:left="480" w:firstLine="0" w:firstLineChars="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乙方逾期支付租金达三个月及以上的；</w:t>
      </w:r>
    </w:p>
    <w:p>
      <w:pPr>
        <w:pStyle w:val="18"/>
        <w:autoSpaceDE w:val="0"/>
        <w:autoSpaceDN w:val="0"/>
        <w:adjustRightInd w:val="0"/>
        <w:spacing w:line="420" w:lineRule="exact"/>
        <w:ind w:left="480" w:firstLine="0" w:firstLineChars="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违反本协议第五条第1款约定的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autoSpaceDE w:val="0"/>
        <w:autoSpaceDN w:val="0"/>
        <w:adjustRightInd w:val="0"/>
        <w:spacing w:line="420" w:lineRule="exact"/>
        <w:ind w:left="480" w:firstLine="0" w:firstLineChars="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其他违约行为造成甲方重大损失。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九、纠纷解决方式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执行本协议发生纠纷，由甲乙丙三方友好协商解决，协商不成的，三方均可提交至厦门仲裁委员会裁决。</w:t>
      </w:r>
    </w:p>
    <w:p>
      <w:pPr>
        <w:autoSpaceDE w:val="0"/>
        <w:autoSpaceDN w:val="0"/>
        <w:adjustRightInd w:val="0"/>
        <w:spacing w:line="420" w:lineRule="exact"/>
        <w:contextualSpacing/>
        <w:jc w:val="center"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（以下无正文）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jc w:val="center"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（协议签订页）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甲方：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法定代表人或委托代理人：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（签章）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乙方：</w:t>
      </w:r>
      <w:r>
        <w:rPr>
          <w:rFonts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法定代表人或委托代理人：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（签章）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丙方：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法定代表人或委托代理人：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（签章）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contextualSpacing/>
        <w:jc w:val="center"/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签订日期：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kern w:val="0"/>
          <w:sz w:val="24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line="420" w:lineRule="exact"/>
        <w:contextualSpacing/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附件1 租赁清单及价值</w:t>
      </w:r>
    </w:p>
    <w:p>
      <w:pPr>
        <w:autoSpaceDE w:val="0"/>
        <w:autoSpaceDN w:val="0"/>
        <w:adjustRightInd w:val="0"/>
        <w:spacing w:line="420" w:lineRule="exact"/>
        <w:contextualSpacing/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附件2 担保人营业执照/身份证件</w:t>
      </w:r>
    </w:p>
    <w:p>
      <w:pPr>
        <w:autoSpaceDE w:val="0"/>
        <w:autoSpaceDN w:val="0"/>
        <w:adjustRightInd w:val="0"/>
        <w:spacing w:line="420" w:lineRule="exact"/>
        <w:contextualSpacing/>
        <w:rPr>
          <w:rFonts w:hint="eastAsia" w:ascii="仿宋" w:hAnsi="仿宋" w:eastAsia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2240" w:h="15840"/>
      <w:pgMar w:top="1361" w:right="1797" w:bottom="1361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方正书宋_GB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DejaVu San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书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书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书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sz w:val="18"/>
      </w:rPr>
      <w:pict>
        <v:shape id="PowerPlusWaterMarkObject14741678" o:spid="_x0000_s3099" o:spt="136" type="#_x0000_t136" style="position:absolute;left:0pt;margin-left:517.4pt;margin-top:468.55pt;height:10pt;width:112pt;mso-position-horizontal-relative:margin;mso-position-vertical-relative:margin;rotation:-2949120f;z-index:-251631616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4699728" o:spid="_x0000_s3098" o:spt="136" type="#_x0000_t136" style="position:absolute;left:0pt;margin-left:413.45pt;margin-top:572.5pt;height:10pt;width:112pt;mso-position-horizontal-relative:margin;mso-position-vertical-relative:margin;rotation:-2949120f;z-index:-251632640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3842083" o:spid="_x0000_s3097" o:spt="136" type="#_x0000_t136" style="position:absolute;left:0pt;margin-left:309.55pt;margin-top:676.45pt;height:10pt;width:112pt;mso-position-horizontal-relative:margin;mso-position-vertical-relative:margin;rotation:-2949120f;z-index:-251633664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2894312" o:spid="_x0000_s3096" o:spt="136" type="#_x0000_t136" style="position:absolute;left:0pt;margin-left:517.4pt;margin-top:268pt;height:10pt;width:112pt;mso-position-horizontal-relative:margin;mso-position-vertical-relative:margin;rotation:-2949120f;z-index:-251634688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2422654" o:spid="_x0000_s3095" o:spt="136" type="#_x0000_t136" style="position:absolute;left:0pt;margin-left:413.45pt;margin-top:371.95pt;height:10pt;width:112pt;mso-position-horizontal-relative:margin;mso-position-vertical-relative:margin;rotation:-2949120f;z-index:-251635712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1412773" o:spid="_x0000_s3094" o:spt="136" type="#_x0000_t136" style="position:absolute;left:0pt;margin-left:309.55pt;margin-top:475.85pt;height:10pt;width:112pt;mso-position-horizontal-relative:margin;mso-position-vertical-relative:margin;rotation:-2949120f;z-index:-251636736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0425880" o:spid="_x0000_s3093" o:spt="136" type="#_x0000_t136" style="position:absolute;left:0pt;margin-left:205.6pt;margin-top:579.8pt;height:10pt;width:112pt;mso-position-horizontal-relative:margin;mso-position-vertical-relative:margin;rotation:-2949120f;z-index:-251637760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0039543" o:spid="_x0000_s3092" o:spt="136" type="#_x0000_t136" style="position:absolute;left:0pt;margin-left:101.65pt;margin-top:683.75pt;height:10pt;width:112pt;mso-position-horizontal-relative:margin;mso-position-vertical-relative:margin;rotation:-2949120f;z-index:-251638784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9570620" o:spid="_x0000_s3091" o:spt="136" type="#_x0000_t136" style="position:absolute;left:0pt;margin-left:517.4pt;margin-top:67.4pt;height:10pt;width:112pt;mso-position-horizontal-relative:margin;mso-position-vertical-relative:margin;rotation:-2949120f;z-index:-251639808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8603228" o:spid="_x0000_s3090" o:spt="136" type="#_x0000_t136" style="position:absolute;left:0pt;margin-left:413.45pt;margin-top:171.35pt;height:10pt;width:112pt;mso-position-horizontal-relative:margin;mso-position-vertical-relative:margin;rotation:-2949120f;z-index:-251640832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8558202" o:spid="_x0000_s3089" o:spt="136" type="#_x0000_t136" style="position:absolute;left:0pt;margin-left:309.55pt;margin-top:275.3pt;height:10pt;width:112pt;mso-position-horizontal-relative:margin;mso-position-vertical-relative:margin;rotation:-2949120f;z-index:-251641856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7643909" o:spid="_x0000_s3088" o:spt="136" type="#_x0000_t136" style="position:absolute;left:0pt;margin-left:205.6pt;margin-top:379.25pt;height:10pt;width:112pt;mso-position-horizontal-relative:margin;mso-position-vertical-relative:margin;rotation:-2949120f;z-index:-251642880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7166321" o:spid="_x0000_s3087" o:spt="136" type="#_x0000_t136" style="position:absolute;left:0pt;margin-left:101.65pt;margin-top:483.2pt;height:10pt;width:112pt;mso-position-horizontal-relative:margin;mso-position-vertical-relative:margin;rotation:-2949120f;z-index:-251643904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6874132" o:spid="_x0000_s3086" o:spt="136" type="#_x0000_t136" style="position:absolute;left:0pt;margin-left:-2.3pt;margin-top:587.15pt;height:10pt;width:112pt;mso-position-horizontal-relative:margin;mso-position-vertical-relative:margin;rotation:-2949120f;z-index:-251644928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6748407" o:spid="_x0000_s3085" o:spt="136" type="#_x0000_t136" style="position:absolute;left:0pt;margin-left:-106.25pt;margin-top:691.1pt;height:10pt;width:112pt;mso-position-horizontal-relative:margin;mso-position-vertical-relative:margin;rotation:-2949120f;z-index:-251645952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6321841" o:spid="_x0000_s3084" o:spt="136" type="#_x0000_t136" style="position:absolute;left:0pt;margin-left:413.45pt;margin-top:-29.2pt;height:10pt;width:112pt;mso-position-horizontal-relative:margin;mso-position-vertical-relative:margin;rotation:-2949120f;z-index:-251646976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5565241" o:spid="_x0000_s3083" o:spt="136" type="#_x0000_t136" style="position:absolute;left:0pt;margin-left:309.55pt;margin-top:74.75pt;height:10pt;width:112pt;mso-position-horizontal-relative:margin;mso-position-vertical-relative:margin;rotation:-2949120f;z-index:-251648000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5185313" o:spid="_x0000_s3082" o:spt="136" type="#_x0000_t136" style="position:absolute;left:0pt;margin-left:205.6pt;margin-top:178.7pt;height:10pt;width:112pt;mso-position-horizontal-relative:margin;mso-position-vertical-relative:margin;rotation:-2949120f;z-index:-251649024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4526699" o:spid="_x0000_s3081" o:spt="136" type="#_x0000_t136" style="position:absolute;left:0pt;margin-left:101.65pt;margin-top:282.6pt;height:10pt;width:112pt;mso-position-horizontal-relative:margin;mso-position-vertical-relative:margin;rotation:-2949120f;z-index:-251650048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3715786" o:spid="_x0000_s3080" o:spt="136" type="#_x0000_t136" style="position:absolute;left:0pt;margin-left:-2.3pt;margin-top:386.55pt;height:10pt;width:112pt;mso-position-horizontal-relative:margin;mso-position-vertical-relative:margin;rotation:-2949120f;z-index:-251651072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3140807" o:spid="_x0000_s3079" o:spt="136" type="#_x0000_t136" style="position:absolute;left:0pt;margin-left:-106.25pt;margin-top:490.5pt;height:10pt;width:112pt;mso-position-horizontal-relative:margin;mso-position-vertical-relative:margin;rotation:-2949120f;z-index:-251652096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2323116" o:spid="_x0000_s3078" o:spt="136" type="#_x0000_t136" style="position:absolute;left:0pt;margin-left:205.6pt;margin-top:-21.9pt;height:10pt;width:112pt;mso-position-horizontal-relative:margin;mso-position-vertical-relative:margin;rotation:-2949120f;z-index:-251653120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728708" o:spid="_x0000_s3077" o:spt="136" type="#_x0000_t136" style="position:absolute;left:0pt;margin-left:101.65pt;margin-top:82.05pt;height:10pt;width:112pt;mso-position-horizontal-relative:margin;mso-position-vertical-relative:margin;rotation:-2949120f;z-index:-251654144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633141" o:spid="_x0000_s3076" o:spt="136" type="#_x0000_t136" style="position:absolute;left:0pt;margin-left:-2.3pt;margin-top:186pt;height:10pt;width:112pt;mso-position-horizontal-relative:margin;mso-position-vertical-relative:margin;rotation:-2949120f;z-index:-251655168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105528" o:spid="_x0000_s3075" o:spt="136" type="#_x0000_t136" style="position:absolute;left:0pt;margin-left:-106.25pt;margin-top:289.95pt;height:10pt;width:112pt;mso-position-horizontal-relative:margin;mso-position-vertical-relative:margin;rotation:-2949120f;z-index:-251656192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21883" o:spid="_x0000_s3074" o:spt="136" type="#_x0000_t136" style="position:absolute;left:0pt;margin-left:-2.3pt;margin-top:-14.6pt;height:10pt;width:112pt;mso-position-horizontal-relative:margin;mso-position-vertical-relative:margin;rotation:-2949120f;z-index:-251657216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sz w:val="18"/>
      </w:rPr>
      <w:pict>
        <v:shape id="PowerPlusWaterMarkObject19856" o:spid="_x0000_s3073" o:spt="136" type="#_x0000_t136" style="position:absolute;left:0pt;margin-left:-106.25pt;margin-top:89.35pt;height:10pt;width:112pt;mso-position-horizontal-relative:margin;mso-position-vertical-relative:margin;rotation:-2949120f;z-index:-251658240;mso-width-relative:page;mso-height-relative:page;" fillcolor="#B3B1B1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吴中主&#10;2025-08-0114:02:38" style="font-family:Sans Serif;font-size:10pt;v-same-letter-heights:f;v-text-align:center;"/>
        </v:shape>
      </w:pict>
    </w:r>
    <w:r>
      <w:rPr>
        <w:rFonts w:hint="eastAsia"/>
      </w:rPr>
      <w:t>合同编号：XD-XX-ZL-2025XXXXXXX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OThhZDBhZGYwZDA3MGZiYmFiYzEwOWM5MDFhYjEifQ=="/>
  </w:docVars>
  <w:rsids>
    <w:rsidRoot w:val="00A4301F"/>
    <w:rsid w:val="0001112F"/>
    <w:rsid w:val="000250A3"/>
    <w:rsid w:val="00034245"/>
    <w:rsid w:val="00040B2D"/>
    <w:rsid w:val="000539A6"/>
    <w:rsid w:val="000715C8"/>
    <w:rsid w:val="00095148"/>
    <w:rsid w:val="000B5A79"/>
    <w:rsid w:val="000C33BE"/>
    <w:rsid w:val="000E0475"/>
    <w:rsid w:val="000F458A"/>
    <w:rsid w:val="000F75F0"/>
    <w:rsid w:val="00117E01"/>
    <w:rsid w:val="00130426"/>
    <w:rsid w:val="0014666D"/>
    <w:rsid w:val="0017575A"/>
    <w:rsid w:val="00175E89"/>
    <w:rsid w:val="001973B7"/>
    <w:rsid w:val="001A3196"/>
    <w:rsid w:val="001C1966"/>
    <w:rsid w:val="001C25D4"/>
    <w:rsid w:val="001E0424"/>
    <w:rsid w:val="001F5EB5"/>
    <w:rsid w:val="0020485C"/>
    <w:rsid w:val="00205510"/>
    <w:rsid w:val="002177CD"/>
    <w:rsid w:val="00217A52"/>
    <w:rsid w:val="002323E5"/>
    <w:rsid w:val="00241EC1"/>
    <w:rsid w:val="00285B4D"/>
    <w:rsid w:val="00285E16"/>
    <w:rsid w:val="00287A9A"/>
    <w:rsid w:val="002972DB"/>
    <w:rsid w:val="002A5766"/>
    <w:rsid w:val="002B6F5D"/>
    <w:rsid w:val="002C531B"/>
    <w:rsid w:val="002C697E"/>
    <w:rsid w:val="00300775"/>
    <w:rsid w:val="00301FD3"/>
    <w:rsid w:val="00302397"/>
    <w:rsid w:val="00306712"/>
    <w:rsid w:val="00321F77"/>
    <w:rsid w:val="00327B1E"/>
    <w:rsid w:val="00350856"/>
    <w:rsid w:val="003568D1"/>
    <w:rsid w:val="0037469B"/>
    <w:rsid w:val="0038798B"/>
    <w:rsid w:val="003B4EEE"/>
    <w:rsid w:val="003C289D"/>
    <w:rsid w:val="00405299"/>
    <w:rsid w:val="004375B4"/>
    <w:rsid w:val="00437BF1"/>
    <w:rsid w:val="00453623"/>
    <w:rsid w:val="004731FA"/>
    <w:rsid w:val="00484885"/>
    <w:rsid w:val="004B0B38"/>
    <w:rsid w:val="004B6905"/>
    <w:rsid w:val="004B6E0E"/>
    <w:rsid w:val="004C21B0"/>
    <w:rsid w:val="004C471D"/>
    <w:rsid w:val="004D4D0E"/>
    <w:rsid w:val="004E0AA8"/>
    <w:rsid w:val="004E4CE6"/>
    <w:rsid w:val="004E52E5"/>
    <w:rsid w:val="004F5037"/>
    <w:rsid w:val="00505DCE"/>
    <w:rsid w:val="0051373C"/>
    <w:rsid w:val="00516789"/>
    <w:rsid w:val="00527DC3"/>
    <w:rsid w:val="00533944"/>
    <w:rsid w:val="00543C7B"/>
    <w:rsid w:val="005617CC"/>
    <w:rsid w:val="00567B03"/>
    <w:rsid w:val="00575862"/>
    <w:rsid w:val="005C48F6"/>
    <w:rsid w:val="005D6C4D"/>
    <w:rsid w:val="005F7DB4"/>
    <w:rsid w:val="00612D4E"/>
    <w:rsid w:val="0062345E"/>
    <w:rsid w:val="00625555"/>
    <w:rsid w:val="006307E9"/>
    <w:rsid w:val="00633BDE"/>
    <w:rsid w:val="00634950"/>
    <w:rsid w:val="00641507"/>
    <w:rsid w:val="00642CB1"/>
    <w:rsid w:val="006529ED"/>
    <w:rsid w:val="00652B66"/>
    <w:rsid w:val="00673D26"/>
    <w:rsid w:val="0067445E"/>
    <w:rsid w:val="006807B1"/>
    <w:rsid w:val="006C3DC4"/>
    <w:rsid w:val="006D2BDA"/>
    <w:rsid w:val="006D5D9B"/>
    <w:rsid w:val="006E7444"/>
    <w:rsid w:val="006F0F3E"/>
    <w:rsid w:val="007005B0"/>
    <w:rsid w:val="0071099F"/>
    <w:rsid w:val="00711715"/>
    <w:rsid w:val="00716FAD"/>
    <w:rsid w:val="00725C09"/>
    <w:rsid w:val="00752BA2"/>
    <w:rsid w:val="0075331B"/>
    <w:rsid w:val="007548A4"/>
    <w:rsid w:val="007656C7"/>
    <w:rsid w:val="00781EC8"/>
    <w:rsid w:val="007912C5"/>
    <w:rsid w:val="00794D77"/>
    <w:rsid w:val="0079608D"/>
    <w:rsid w:val="007A07C0"/>
    <w:rsid w:val="007B0141"/>
    <w:rsid w:val="007B573A"/>
    <w:rsid w:val="007C4B9E"/>
    <w:rsid w:val="007D0A21"/>
    <w:rsid w:val="007E0BA0"/>
    <w:rsid w:val="007E138E"/>
    <w:rsid w:val="007E3584"/>
    <w:rsid w:val="007F08DA"/>
    <w:rsid w:val="007F22A9"/>
    <w:rsid w:val="00802BDA"/>
    <w:rsid w:val="00815259"/>
    <w:rsid w:val="00837023"/>
    <w:rsid w:val="008661C5"/>
    <w:rsid w:val="008C64E1"/>
    <w:rsid w:val="008D6DD7"/>
    <w:rsid w:val="008E2A6D"/>
    <w:rsid w:val="008E53A7"/>
    <w:rsid w:val="00917D3A"/>
    <w:rsid w:val="00920CA1"/>
    <w:rsid w:val="0092179E"/>
    <w:rsid w:val="00936368"/>
    <w:rsid w:val="00950CF6"/>
    <w:rsid w:val="009725C9"/>
    <w:rsid w:val="009742E9"/>
    <w:rsid w:val="00992B63"/>
    <w:rsid w:val="009B5D1C"/>
    <w:rsid w:val="00A007F5"/>
    <w:rsid w:val="00A204F3"/>
    <w:rsid w:val="00A27886"/>
    <w:rsid w:val="00A312E5"/>
    <w:rsid w:val="00A41533"/>
    <w:rsid w:val="00A4301F"/>
    <w:rsid w:val="00A47D0C"/>
    <w:rsid w:val="00A7211F"/>
    <w:rsid w:val="00A7645F"/>
    <w:rsid w:val="00A80F3C"/>
    <w:rsid w:val="00A84C57"/>
    <w:rsid w:val="00A91B3C"/>
    <w:rsid w:val="00A96CB2"/>
    <w:rsid w:val="00AA45F1"/>
    <w:rsid w:val="00AA7D1C"/>
    <w:rsid w:val="00AB3FB3"/>
    <w:rsid w:val="00AD0F8C"/>
    <w:rsid w:val="00AD38DB"/>
    <w:rsid w:val="00AD4A27"/>
    <w:rsid w:val="00AE5E9A"/>
    <w:rsid w:val="00AF09C3"/>
    <w:rsid w:val="00AF55A0"/>
    <w:rsid w:val="00AF7886"/>
    <w:rsid w:val="00B03D33"/>
    <w:rsid w:val="00B145C3"/>
    <w:rsid w:val="00B26571"/>
    <w:rsid w:val="00B36F1C"/>
    <w:rsid w:val="00B5447D"/>
    <w:rsid w:val="00B75459"/>
    <w:rsid w:val="00B843BC"/>
    <w:rsid w:val="00B915CC"/>
    <w:rsid w:val="00BB1CD0"/>
    <w:rsid w:val="00BC00C0"/>
    <w:rsid w:val="00BC24A9"/>
    <w:rsid w:val="00BC5376"/>
    <w:rsid w:val="00BD2083"/>
    <w:rsid w:val="00BE56C2"/>
    <w:rsid w:val="00BF36D5"/>
    <w:rsid w:val="00BF4B19"/>
    <w:rsid w:val="00C22CDA"/>
    <w:rsid w:val="00C30EF1"/>
    <w:rsid w:val="00C51FAD"/>
    <w:rsid w:val="00C67525"/>
    <w:rsid w:val="00C76794"/>
    <w:rsid w:val="00C81ECD"/>
    <w:rsid w:val="00C93D23"/>
    <w:rsid w:val="00C958C4"/>
    <w:rsid w:val="00C967FE"/>
    <w:rsid w:val="00C96B18"/>
    <w:rsid w:val="00CA1231"/>
    <w:rsid w:val="00CA3BE4"/>
    <w:rsid w:val="00CB2DAD"/>
    <w:rsid w:val="00CE0541"/>
    <w:rsid w:val="00CF2905"/>
    <w:rsid w:val="00CF7FD2"/>
    <w:rsid w:val="00D013D4"/>
    <w:rsid w:val="00D138B0"/>
    <w:rsid w:val="00D1552F"/>
    <w:rsid w:val="00D4190C"/>
    <w:rsid w:val="00D521B0"/>
    <w:rsid w:val="00D55025"/>
    <w:rsid w:val="00D74C02"/>
    <w:rsid w:val="00D7666C"/>
    <w:rsid w:val="00D86EC3"/>
    <w:rsid w:val="00D93F3A"/>
    <w:rsid w:val="00DA311E"/>
    <w:rsid w:val="00DA430C"/>
    <w:rsid w:val="00DA4770"/>
    <w:rsid w:val="00DB1EC0"/>
    <w:rsid w:val="00DD0527"/>
    <w:rsid w:val="00DD5CE2"/>
    <w:rsid w:val="00DE1234"/>
    <w:rsid w:val="00DE3C1D"/>
    <w:rsid w:val="00DE6D22"/>
    <w:rsid w:val="00E02503"/>
    <w:rsid w:val="00E24FA2"/>
    <w:rsid w:val="00E31E24"/>
    <w:rsid w:val="00E34DA7"/>
    <w:rsid w:val="00E6127B"/>
    <w:rsid w:val="00E6311F"/>
    <w:rsid w:val="00E67CBA"/>
    <w:rsid w:val="00E81B05"/>
    <w:rsid w:val="00E867B1"/>
    <w:rsid w:val="00E960F7"/>
    <w:rsid w:val="00EA0088"/>
    <w:rsid w:val="00EB467F"/>
    <w:rsid w:val="00EB7432"/>
    <w:rsid w:val="00ED1D5C"/>
    <w:rsid w:val="00ED6AA3"/>
    <w:rsid w:val="00ED7377"/>
    <w:rsid w:val="00ED7C54"/>
    <w:rsid w:val="00EF45A6"/>
    <w:rsid w:val="00EF6D16"/>
    <w:rsid w:val="00F07350"/>
    <w:rsid w:val="00F14402"/>
    <w:rsid w:val="00F14D7A"/>
    <w:rsid w:val="00F15164"/>
    <w:rsid w:val="00F33370"/>
    <w:rsid w:val="00F477C8"/>
    <w:rsid w:val="00F5058C"/>
    <w:rsid w:val="00F6096C"/>
    <w:rsid w:val="00F61F44"/>
    <w:rsid w:val="00F94B86"/>
    <w:rsid w:val="00FB2429"/>
    <w:rsid w:val="00FB6AE6"/>
    <w:rsid w:val="00FC091C"/>
    <w:rsid w:val="00FD59CD"/>
    <w:rsid w:val="00FD7CE8"/>
    <w:rsid w:val="00FE0B25"/>
    <w:rsid w:val="00FE2C9E"/>
    <w:rsid w:val="07C81BD2"/>
    <w:rsid w:val="0DA96B60"/>
    <w:rsid w:val="0FA83E3A"/>
    <w:rsid w:val="11E12C61"/>
    <w:rsid w:val="127952CC"/>
    <w:rsid w:val="145E5769"/>
    <w:rsid w:val="1E486B84"/>
    <w:rsid w:val="1F807F82"/>
    <w:rsid w:val="206629BF"/>
    <w:rsid w:val="2619065A"/>
    <w:rsid w:val="281D61FE"/>
    <w:rsid w:val="33E63EF0"/>
    <w:rsid w:val="34563710"/>
    <w:rsid w:val="3592207D"/>
    <w:rsid w:val="37AF056B"/>
    <w:rsid w:val="396F1155"/>
    <w:rsid w:val="3DD66B89"/>
    <w:rsid w:val="3EE91C1B"/>
    <w:rsid w:val="4F4C62AD"/>
    <w:rsid w:val="5194710A"/>
    <w:rsid w:val="53781210"/>
    <w:rsid w:val="5B8524B6"/>
    <w:rsid w:val="5DE66403"/>
    <w:rsid w:val="627E67A0"/>
    <w:rsid w:val="64927F53"/>
    <w:rsid w:val="68D36376"/>
    <w:rsid w:val="6CB15015"/>
    <w:rsid w:val="70585BFB"/>
    <w:rsid w:val="77C71893"/>
    <w:rsid w:val="78D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5">
    <w:name w:val="Body Text Indent"/>
    <w:basedOn w:val="1"/>
    <w:semiHidden/>
    <w:qFormat/>
    <w:uiPriority w:val="0"/>
    <w:pPr>
      <w:autoSpaceDE w:val="0"/>
      <w:autoSpaceDN w:val="0"/>
      <w:adjustRightInd w:val="0"/>
      <w:spacing w:line="480" w:lineRule="auto"/>
      <w:ind w:left="480"/>
      <w:jc w:val="left"/>
    </w:pPr>
    <w:rPr>
      <w:rFonts w:ascii="宋体"/>
      <w:kern w:val="0"/>
      <w:sz w:val="24"/>
      <w:szCs w:val="20"/>
      <w:lang w:val="zh-CN"/>
    </w:rPr>
  </w:style>
  <w:style w:type="character" w:styleId="6">
    <w:name w:val="annotation reference"/>
    <w:unhideWhenUsed/>
    <w:qFormat/>
    <w:uiPriority w:val="99"/>
    <w:rPr>
      <w:sz w:val="21"/>
      <w:szCs w:val="21"/>
    </w:rPr>
  </w:style>
  <w:style w:type="paragraph" w:styleId="7">
    <w:name w:val="annotation text"/>
    <w:basedOn w:val="1"/>
    <w:link w:val="13"/>
    <w:unhideWhenUsed/>
    <w:qFormat/>
    <w:uiPriority w:val="99"/>
    <w:pPr>
      <w:jc w:val="left"/>
    </w:pPr>
  </w:style>
  <w:style w:type="paragraph" w:styleId="8">
    <w:name w:val="annotation subject"/>
    <w:basedOn w:val="7"/>
    <w:next w:val="7"/>
    <w:link w:val="16"/>
    <w:unhideWhenUsed/>
    <w:qFormat/>
    <w:uiPriority w:val="99"/>
    <w:rPr>
      <w:b/>
      <w:bCs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批注文字 字符"/>
    <w:link w:val="7"/>
    <w:semiHidden/>
    <w:qFormat/>
    <w:uiPriority w:val="99"/>
    <w:rPr>
      <w:kern w:val="2"/>
      <w:sz w:val="21"/>
      <w:szCs w:val="24"/>
    </w:rPr>
  </w:style>
  <w:style w:type="character" w:customStyle="1" w:styleId="14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16">
    <w:name w:val="批注主题 字符"/>
    <w:link w:val="8"/>
    <w:semiHidden/>
    <w:qFormat/>
    <w:uiPriority w:val="99"/>
    <w:rPr>
      <w:b/>
      <w:bCs/>
      <w:kern w:val="2"/>
      <w:sz w:val="21"/>
      <w:szCs w:val="24"/>
    </w:rPr>
  </w:style>
  <w:style w:type="paragraph" w:customStyle="1" w:styleId="17">
    <w:name w:val="_Style 16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99"/>
    <customShpInfo spid="_x0000_s3098"/>
    <customShpInfo spid="_x0000_s3097"/>
    <customShpInfo spid="_x0000_s3096"/>
    <customShpInfo spid="_x0000_s3095"/>
    <customShpInfo spid="_x0000_s3094"/>
    <customShpInfo spid="_x0000_s3093"/>
    <customShpInfo spid="_x0000_s3092"/>
    <customShpInfo spid="_x0000_s3091"/>
    <customShpInfo spid="_x0000_s3090"/>
    <customShpInfo spid="_x0000_s3089"/>
    <customShpInfo spid="_x0000_s3088"/>
    <customShpInfo spid="_x0000_s3087"/>
    <customShpInfo spid="_x0000_s3086"/>
    <customShpInfo spid="_x0000_s3085"/>
    <customShpInfo spid="_x0000_s3084"/>
    <customShpInfo spid="_x0000_s3083"/>
    <customShpInfo spid="_x0000_s3082"/>
    <customShpInfo spid="_x0000_s3081"/>
    <customShpInfo spid="_x0000_s3080"/>
    <customShpInfo spid="_x0000_s3079"/>
    <customShpInfo spid="_x0000_s3078"/>
    <customShpInfo spid="_x0000_s3077"/>
    <customShpInfo spid="_x0000_s3076"/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</Words>
  <Characters>1955</Characters>
  <Lines>16</Lines>
  <Paragraphs>4</Paragraphs>
  <TotalTime>99</TotalTime>
  <ScaleCrop>false</ScaleCrop>
  <LinksUpToDate>false</LinksUpToDate>
  <CharactersWithSpaces>2293</CharactersWithSpaces>
  <Application>WPS Office_11.8.2.10299_F1E327BC-269C-435d-A152-05C5408002CA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2024-06-26T17:04:00Z</dcterms:created>
  <dc:creator>pc4</dc:creator>
  <cp:lastModifiedBy>root</cp:lastModifiedBy>
  <cp:lastPrinted>2024-06-26T15:45:00Z</cp:lastPrinted>
  <dcterms:modified xsi:type="dcterms:W3CDTF">2025-08-01T14:02:39Z</dcterms:modified>
  <dc:title>交通银行借款合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1033-11.8.2.10299</vt:lpwstr>
  </property>
  <property fmtid="{D5CDD505-2E9C-101B-9397-08002B2CF9AE}" pid="3" name="ICV">
    <vt:lpwstr>09AB22FB39DC4EFCA022E9EE95131AF1_13</vt:lpwstr>
  </property>
</Properties>
</file>